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科学技术局</w:t>
      </w:r>
      <w:r>
        <w:rPr>
          <w:rFonts w:hint="eastAsia" w:ascii="方正小标宋简体" w:hAnsi="Times New Roman" w:eastAsia="方正小标宋简体" w:cs="Times New Roman"/>
          <w:sz w:val="44"/>
          <w:szCs w:val="44"/>
        </w:rPr>
        <w:t>2019年部门预算信息公开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eastAsia="zh-CN"/>
        </w:rPr>
        <w:t>霸州市科学技术局</w:t>
      </w:r>
      <w:r>
        <w:rPr>
          <w:rFonts w:hint="eastAsia" w:ascii="仿宋_GB2312" w:hAnsi="Times New Roman" w:eastAsia="仿宋_GB2312" w:cs="Times New Roman"/>
          <w:sz w:val="32"/>
          <w:szCs w:val="32"/>
        </w:rPr>
        <w:t>2019年部门预算公开如下：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（一）负责贯彻党和国家有关科学技术政策法规，提出具体实施意见，研究草拟全市有关科学技术方针、政策，并检查执行情况。</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（二）协同有关部门制定中长期科学技术发展规划及年重点攻关，科学技术成果推广应用计划，并掌握分配科学技术经费。</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（三）负责科学技术成果的鉴定和奖励，搞好技术保密审查、知识产权的协调工作。</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（四）管理技术市场，推动多层次多行业的技术开发和技术交易活动。审批管理技术贸易机构，监督检查《技术合同法》的实施和技术合同的认定登记工作。</w:t>
      </w:r>
      <w:r>
        <w:rPr>
          <w:rFonts w:hint="eastAsia" w:ascii="仿宋_GB2312" w:hAnsi="Times New Roman" w:eastAsia="仿宋_GB2312" w:cs="Times New Roman"/>
          <w:sz w:val="32"/>
          <w:szCs w:val="32"/>
        </w:rPr>
        <w:br w:type="textWrapping"/>
      </w:r>
      <w:r>
        <w:rPr>
          <w:rFonts w:ascii="仿宋" w:hAnsi="仿宋" w:eastAsia="仿宋"/>
          <w:sz w:val="32"/>
          <w:szCs w:val="32"/>
        </w:rPr>
        <w:t xml:space="preserve">    </w:t>
      </w:r>
      <w:r>
        <w:rPr>
          <w:rFonts w:hint="eastAsia" w:ascii="仿宋_GB2312" w:hAnsi="Times New Roman" w:eastAsia="仿宋_GB2312" w:cs="Times New Roman"/>
          <w:sz w:val="32"/>
          <w:szCs w:val="32"/>
        </w:rPr>
        <w:t>（五）负责专业技术干部和科技管理干部及农村科技队伍的管理培训。</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（六）指导全市厂办和民办科技开发机构的改革，加强农村科学技术服务体系建设，搞好科技示范活动。</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（七）组织专利技术实施和专利实施许可合同的认定登记，指导和协调有关部门的专利工作。</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（八）组织推动全市科技情报网络建设，做好信息服务工作，积极开展技术开发、技术转让等技术贸易活动。</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（九）负责科学技术普及、软科学研究和科技信息反馈工作，指导科技第三产业发展，负责市科技局管理范围内的科技统计。</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（十）指导协调各乡镇有关科技管理工作，协同有关部门推动农村、行业和企业的科技进步，并对有关部门的科技进步进行检测和考核。</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科技局内设办公室，综合科技股，知识产权办公室、生产力促进中心4个科室</w:t>
      </w:r>
    </w:p>
    <w:p>
      <w:pPr>
        <w:ind w:firstLine="643" w:firstLineChars="200"/>
        <w:rPr>
          <w:rFonts w:hint="eastAsia" w:ascii="楷体_GB2312" w:hAnsi="Times New Roman" w:eastAsia="楷体_GB2312" w:cs="Times New Roman"/>
          <w:b/>
          <w:sz w:val="32"/>
          <w:szCs w:val="32"/>
        </w:rPr>
      </w:pPr>
    </w:p>
    <w:p>
      <w:pPr>
        <w:ind w:firstLine="643" w:firstLineChars="200"/>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outlineLvl w:val="0"/>
              <w:rPr>
                <w:rFonts w:ascii="Times New Roman" w:hAnsi="Times New Roman" w:eastAsia="方正书宋_GBK" w:cs="Times New Roman"/>
                <w:szCs w:val="24"/>
              </w:rPr>
            </w:pPr>
            <w:r>
              <w:rPr>
                <w:rFonts w:hint="eastAsia" w:ascii="方正书宋_GBK" w:eastAsia="方正书宋_GBK"/>
              </w:rPr>
              <w:t>霸州市科学技术局</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w:t>
      </w:r>
      <w:r>
        <w:rPr>
          <w:rFonts w:hint="eastAsia" w:ascii="仿宋_GB2312" w:hAnsi="Times New Roman" w:eastAsia="仿宋_GB2312" w:cs="Times New Roman"/>
          <w:sz w:val="32"/>
          <w:szCs w:val="32"/>
          <w:lang w:val="en-US" w:eastAsia="zh-CN"/>
        </w:rPr>
        <w:t>2118.78</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2118.78</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科学技术局</w:t>
      </w:r>
      <w:r>
        <w:rPr>
          <w:rFonts w:hint="eastAsia" w:ascii="仿宋_GB2312" w:hAnsi="Times New Roman" w:eastAsia="仿宋_GB2312" w:cs="Times New Roman"/>
          <w:sz w:val="32"/>
          <w:szCs w:val="32"/>
        </w:rPr>
        <w:t>2019年度部门预算中支出预算的总体情况。2019年本部门支出预算</w:t>
      </w:r>
      <w:r>
        <w:rPr>
          <w:rFonts w:hint="eastAsia" w:ascii="仿宋_GB2312" w:hAnsi="Times New Roman" w:eastAsia="仿宋_GB2312" w:cs="Times New Roman"/>
          <w:sz w:val="32"/>
          <w:szCs w:val="32"/>
          <w:lang w:val="en-US" w:eastAsia="zh-CN"/>
        </w:rPr>
        <w:t>2118.78</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305.48</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269.07</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36.41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1813.30</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eastAsia="zh-CN"/>
        </w:rPr>
        <w:t>中小企业科技创新奖励资金</w:t>
      </w:r>
      <w:r>
        <w:rPr>
          <w:rFonts w:hint="eastAsia" w:ascii="仿宋_GB2312" w:hAnsi="Times New Roman" w:eastAsia="仿宋_GB2312" w:cs="Times New Roman"/>
          <w:sz w:val="32"/>
          <w:szCs w:val="32"/>
          <w:lang w:val="en-US" w:eastAsia="zh-CN"/>
        </w:rPr>
        <w:t>1800万元</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2019年预算收支安排</w:t>
      </w:r>
      <w:r>
        <w:rPr>
          <w:rFonts w:hint="eastAsia" w:ascii="仿宋_GB2312" w:hAnsi="Times New Roman" w:eastAsia="仿宋_GB2312" w:cs="Times New Roman"/>
          <w:color w:val="000000" w:themeColor="text1"/>
          <w:sz w:val="32"/>
          <w:szCs w:val="32"/>
          <w:lang w:val="en-US" w:eastAsia="zh-CN"/>
        </w:rPr>
        <w:t>2118.78</w:t>
      </w:r>
      <w:r>
        <w:rPr>
          <w:rFonts w:hint="eastAsia" w:ascii="仿宋_GB2312" w:hAnsi="Times New Roman" w:eastAsia="仿宋_GB2312" w:cs="Times New Roman"/>
          <w:color w:val="000000" w:themeColor="text1"/>
          <w:sz w:val="32"/>
          <w:szCs w:val="32"/>
        </w:rPr>
        <w:t>万元，较2018年预算</w:t>
      </w:r>
      <w:r>
        <w:rPr>
          <w:rFonts w:hint="eastAsia" w:ascii="仿宋_GB2312" w:hAnsi="Times New Roman" w:eastAsia="仿宋_GB2312" w:cs="Times New Roman"/>
          <w:color w:val="000000" w:themeColor="text1"/>
          <w:sz w:val="32"/>
          <w:szCs w:val="32"/>
          <w:lang w:val="en-US" w:eastAsia="zh-CN"/>
        </w:rPr>
        <w:t>增加</w:t>
      </w:r>
      <w:r>
        <w:rPr>
          <w:rFonts w:hint="eastAsia" w:ascii="仿宋_GB2312" w:hAnsi="Times New Roman" w:eastAsia="仿宋_GB2312" w:cs="Times New Roman"/>
          <w:color w:val="000000" w:themeColor="text1"/>
          <w:sz w:val="32"/>
          <w:szCs w:val="32"/>
          <w:lang w:val="en-US" w:eastAsia="zh-CN"/>
        </w:rPr>
        <w:t>62.17万元，其中：基本支出增加43.67万元，主要为增加人员经费支出；项目支出增加18.5万元，主要为增加</w:t>
      </w:r>
      <w:r>
        <w:rPr>
          <w:rFonts w:hint="eastAsia" w:ascii="仿宋_GB2312" w:hAnsi="Times New Roman" w:eastAsia="仿宋_GB2312" w:cs="Times New Roman"/>
          <w:sz w:val="32"/>
          <w:szCs w:val="32"/>
          <w:lang w:eastAsia="zh-CN"/>
        </w:rPr>
        <w:t>中小企业科技创新奖励资金</w:t>
      </w:r>
      <w:r>
        <w:rPr>
          <w:rFonts w:hint="eastAsia" w:ascii="仿宋_GB2312" w:hAnsi="Times New Roman" w:eastAsia="仿宋_GB2312" w:cs="Times New Roman"/>
          <w:color w:val="000000" w:themeColor="text1"/>
          <w:sz w:val="32"/>
          <w:szCs w:val="32"/>
          <w:lang w:val="en-US" w:eastAsia="zh-CN"/>
        </w:rPr>
        <w:t>项</w:t>
      </w:r>
      <w:r>
        <w:rPr>
          <w:rFonts w:hint="eastAsia" w:ascii="仿宋_GB2312" w:hAnsi="Times New Roman" w:eastAsia="仿宋_GB2312" w:cs="Times New Roman"/>
          <w:color w:val="000000" w:themeColor="text1"/>
          <w:sz w:val="32"/>
          <w:szCs w:val="32"/>
        </w:rPr>
        <w:t>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36.41</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万元，主要用于办公区的日常维修、办公用房水电费、办公用房取暖费、办公及印刷费，邮电费、差旅费、福利费、公务接待费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培训费、公务用车运行维护费等日常运行支出。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2019年，我部门“三公”经费预算安排</w:t>
      </w:r>
      <w:r>
        <w:rPr>
          <w:rFonts w:hint="eastAsia" w:ascii="仿宋_GB2312" w:hAnsi="Times New Roman" w:eastAsia="仿宋_GB2312" w:cs="Times New Roman"/>
          <w:sz w:val="32"/>
          <w:szCs w:val="32"/>
          <w:lang w:val="en-US" w:eastAsia="zh-CN"/>
        </w:rPr>
        <w:t>2.71</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0.21</w:t>
      </w:r>
      <w:r>
        <w:rPr>
          <w:rFonts w:hint="eastAsia" w:ascii="仿宋_GB2312" w:hAnsi="Times New Roman" w:eastAsia="仿宋_GB2312" w:cs="Times New Roman"/>
          <w:sz w:val="32"/>
          <w:szCs w:val="32"/>
        </w:rPr>
        <w:t>万元，较2018年“三公”经费持平</w:t>
      </w:r>
      <w:r>
        <w:rPr>
          <w:rFonts w:hint="eastAsia" w:ascii="仿宋_GB2312" w:hAnsi="Times New Roman" w:eastAsia="仿宋_GB2312" w:cs="Times New Roman"/>
          <w:sz w:val="32"/>
          <w:szCs w:val="32"/>
        </w:rPr>
        <w:t>，无增减变化。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总体绩效目标：</w:t>
      </w:r>
    </w:p>
    <w:p>
      <w:pPr>
        <w:ind w:firstLine="560" w:firstLineChars="200"/>
        <w:rPr>
          <w:rFonts w:hint="eastAsia" w:ascii="仿宋_GB2312" w:hAnsi="Times New Roman" w:eastAsia="仿宋_GB2312" w:cs="Times New Roman"/>
          <w:sz w:val="32"/>
          <w:szCs w:val="32"/>
          <w:lang w:val="en-US" w:eastAsia="zh-CN"/>
        </w:rPr>
      </w:pPr>
      <w:r>
        <w:rPr>
          <w:rFonts w:ascii="方正仿宋_GBK" w:eastAsia="方正仿宋_GBK"/>
          <w:sz w:val="28"/>
        </w:rPr>
        <w:t xml:space="preserve"> </w:t>
      </w:r>
      <w:r>
        <w:rPr>
          <w:rFonts w:hint="eastAsia" w:ascii="仿宋_GB2312" w:hAnsi="Times New Roman" w:eastAsia="仿宋_GB2312" w:cs="Times New Roman"/>
          <w:sz w:val="32"/>
          <w:szCs w:val="32"/>
          <w:lang w:val="en-US" w:eastAsia="zh-CN"/>
        </w:rPr>
        <w:t>1、强化高新技术产业发展，不断提升在全市经济发展中的占比。一是加大用高新技术改造传统产业的力度，以科技对标为手段，通过专家调研把脉开放改造传统产业，以激发传统产业的发展活力；二是大力发展高新技术等新兴产业，在三大园区引进转化高新技术成果。</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加大科技投入，引领产业转型。逐步形成以企业为主体，财政为引导的科技投入体系。加大研发投入，使全市的研究与实验发展经费占GDP的比例由现在的不足1%提高到2%，通过科技投入，带动科技创新，促进科技进步，使科技创新对经济的增长贡献率达到60%以上。</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3、大力实施知识产权战略，全面提升我市的知识产权的创新、运用、保护和管理水平。进一步建立健全知识产权管理机构，制定促进知识产权发展的配套政策措施，搭建知识产权综合服务平台。</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4、加大与大专院校科研单位的联合，为我市创新发展提供人才和智力支撑。通过开展科技成果发布会，科企对接会，建立技术研发中心，中试基地等形式不断促成产学研联合，强化企业与大专科研单位的联系，产学研联合体由目前38家增加到45家。</w:t>
      </w:r>
    </w:p>
    <w:p>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1"/>
    <w:p>
      <w:pPr>
        <w:jc w:val="center"/>
        <w:outlineLvl w:val="0"/>
        <w:rPr>
          <w:rFonts w:ascii="方正小标宋_GBK" w:eastAsia="方正小标宋_GBK"/>
          <w:color w:val="FFFFFF"/>
          <w:sz w:val="32"/>
        </w:rPr>
      </w:pPr>
      <w:bookmarkStart w:id="2" w:name="_Toc11131"/>
      <w:r>
        <w:rPr>
          <w:rFonts w:hint="eastAsia" w:ascii="方正小标宋_GBK" w:eastAsia="方正小标宋_GBK"/>
          <w:sz w:val="32"/>
        </w:rPr>
        <w:t>部门职责-工作活动绩效目标</w:t>
      </w:r>
      <w:r>
        <w:rPr>
          <w:rStyle w:val="11"/>
          <w:rFonts w:ascii="方正小标宋_GBK" w:eastAsia="方正小标宋_GBK"/>
          <w:color w:val="FFFFFF"/>
          <w:sz w:val="32"/>
        </w:rPr>
        <w:footnoteReference w:id="0" w:customMarkFollows="1"/>
        <w:sym w:font="Symbol" w:char="F020"/>
      </w:r>
      <w:bookmarkEnd w:id="2"/>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601霸州市科学技术局</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一、科技创</w:t>
            </w:r>
          </w:p>
          <w:p>
            <w:pPr>
              <w:spacing w:line="300" w:lineRule="exact"/>
              <w:jc w:val="left"/>
              <w:rPr>
                <w:rFonts w:ascii="方正书宋_GBK" w:eastAsia="方正书宋_GBK"/>
                <w:b/>
              </w:rPr>
            </w:pPr>
            <w:r>
              <w:rPr>
                <w:rFonts w:hint="eastAsia" w:ascii="方正书宋_GBK" w:eastAsia="方正书宋_GBK"/>
                <w:b/>
              </w:rPr>
              <w:t>新项目</w:t>
            </w:r>
          </w:p>
          <w:p>
            <w:pPr>
              <w:spacing w:line="300" w:lineRule="exact"/>
              <w:jc w:val="left"/>
              <w:rPr>
                <w:rFonts w:ascii="方正书宋_GBK" w:eastAsia="方正书宋_GBK"/>
                <w:b/>
              </w:rPr>
            </w:pPr>
            <w:r>
              <w:rPr>
                <w:rFonts w:hint="eastAsia" w:ascii="方正书宋_GBK" w:eastAsia="方正书宋_GBK"/>
                <w:b/>
              </w:rPr>
              <w:t>支撑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1800.00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以促进产业转型升级、治理生态环境、改善民生等重大科技需求为重点，在高新技术、现代农业发展、生态环境治理与科技惠民等领域，实施关键共性技术应用示范；支持重大科技成果转化和产业化</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为产业转型升级、现代农业建设、和谐宜居环境创建和民生改善提供创新支撑；提升科技开放与合作的水平，提高科技成果转化和产业化能力</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、社会公益技术研究</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重点围绕大气污染防治、资源环境保护与利用、提升百姓健康水平和保障公共安全等社会公益方面开展关键技术及新产品的应用示范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应用示范一批改善生态环境、惠及民生的新技术、新工艺、新产品，科技支撑改善环境和惠及民生能力增强。</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新技术应用率（</w:t>
            </w:r>
            <w:r>
              <w:rPr>
                <w:rFonts w:ascii="方正书宋_GBK" w:eastAsia="方正书宋_GBK"/>
              </w:rPr>
              <w:t>%</w:t>
            </w:r>
            <w:r>
              <w:rPr>
                <w:rFonts w:hint="eastAsia" w:ascii="方正书宋_GBK" w:eastAsia="方正书宋_GBK"/>
              </w:rPr>
              <w:t>）</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、现代农业技术研究</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推动农业科技创新，组织开展新品种、新技术、新产品的应用示范，解决制约现代农业发展和新农村建设的重大关键技术问题</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现代农业领域新技术、新品种、新产品的研究和应用水平进一步提升。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推广转化实用新技术数量（个）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9</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星创天地建设</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、支持科技型中小企业技术创新</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1800.00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支持和引导科技型中小企业开展技术创新；建立健全多元化、多层次的中小企业技术创新公共服务体系；壮大科技型中小企业创业投资引导基金规模，建立和完善融资风险补偿基金、科技成果转化引导基金、科技担保机制等；开展科技与金融的对接合作，搭建科技金融服务平台</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发挥财政资金引导作用，推动科技型中小企业技术创新能力不断增强；发挥科技基金作用，逐步建立有利于促进企业自主创新的多元化、多层次、多渠道科技投融资体系。</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完成产品研发和产业化目标任务的企业比重</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开展科技与金融合作的机构数量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河北省科技小巨人认定数量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科技型中小企业认定数量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高新技术企业认定数量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科技金融专项资金</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二、科技创</w:t>
            </w:r>
          </w:p>
          <w:p>
            <w:pPr>
              <w:spacing w:line="300" w:lineRule="exact"/>
              <w:jc w:val="left"/>
              <w:rPr>
                <w:rFonts w:ascii="方正书宋_GBK" w:eastAsia="方正书宋_GBK"/>
                <w:b/>
              </w:rPr>
            </w:pPr>
            <w:r>
              <w:rPr>
                <w:rFonts w:hint="eastAsia" w:ascii="方正书宋_GBK" w:eastAsia="方正书宋_GBK"/>
                <w:b/>
              </w:rPr>
              <w:t>新环境</w:t>
            </w:r>
          </w:p>
          <w:p>
            <w:pPr>
              <w:spacing w:line="300" w:lineRule="exact"/>
              <w:jc w:val="left"/>
              <w:rPr>
                <w:rFonts w:hint="eastAsia" w:ascii="方正书宋_GBK" w:eastAsia="方正书宋_GBK"/>
                <w:b/>
              </w:rPr>
            </w:pPr>
            <w:r>
              <w:rPr>
                <w:rFonts w:hint="eastAsia" w:ascii="方正书宋_GBK" w:eastAsia="方正书宋_GBK"/>
                <w:b/>
              </w:rPr>
              <w:t>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发挥政府职能作用，支持科技创新平台、创业平台建设，支持技术创新服务体系建设，实施科学技术奖励，加强科技人才引进培养，开展软科学研究，加强科学技术普及，打造技术创新良好环境。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创新体系进一步完善，政策环境进一步优化，人才团队进一步壮大，创新平台对产业技术创新的支撑和服务能力进一步增强。</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、科技创新平台建设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围绕我县经济社会和科技发展需求，进行建设引导支持和绩效评价奖励性后补助。</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科研开发能力和创新贡献持续提升。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引进和培养高层次人才数量（人）</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科技创新平台增加数量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、科技创业平台（基地）建设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加强科技园区建设，建立健全高新技术产业创新创业载体及科技中介服务体系，组织开展科技信息服务、科技特派员创新创业及培训等工作。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形成高新技术产业孵化链条；全县科技中介机构、创新创业基地等服务能力得到提升，科技特派员队伍不断壮大。</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高新区主要经济指标年增长率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科技企业孵化器孵化企业数量</w:t>
            </w:r>
            <w:r>
              <w:rPr>
                <w:rFonts w:ascii="方正书宋_GBK" w:eastAsia="方正书宋_GBK"/>
              </w:rPr>
              <w:t>(</w:t>
            </w:r>
            <w:r>
              <w:rPr>
                <w:rFonts w:hint="eastAsia" w:ascii="方正书宋_GBK" w:eastAsia="方正书宋_GBK"/>
              </w:rPr>
              <w:t>家）</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众创空间建设</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研发中心建设</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、科技创新服务体系建设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推动科技基础条件服务平台建设；向社会提供科技信息、科技政策、专利情报、专业标准检索查询及专题咨询等服务；开展科技统计、分析与监测；推广应用创新方法，培育创新型企业；开展形式多样的科技交流活动。开展软科学研究和科学技术普及，打造科技创新软环境。</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科技资源面向社会开放共享程度提高；创新企业培育和创新方法应用推广取得成效；科普能力建设不断提升；服务政府决策能力增强，科技合作交流机制健全，科技信息服务能力不断增强。</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科技信息、技术咨询、科技宣传服务人次（人次）</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院士工作站建设</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应用创新方法解决企业技术或管理难题（项）</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创新型企业研发费用占主营业务收入比率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、科技人才队伍建设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加快各类科技人才的引进、培养、选拔和使用。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引进、培养和选拔一批高层次科技人才。</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高层次科技人才团队引进和培养的数量（个）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三、知识产权管理与保护</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加强知识产权管理，促进知识产权运用，加大知识产权保护力度；加强知识产权宣传培训，加快知识产权服务业发展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知识产权管理、保护和运用水平不断提高，知识产权竞争优势明显，有效推进知识产权战略实施</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、知识产权管理</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3.00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引导企业制定专利战略，规范企业知识产权管理</w:t>
            </w:r>
            <w:r>
              <w:rPr>
                <w:rFonts w:ascii="方正书宋_GBK" w:eastAsia="方正书宋_GBK"/>
              </w:rPr>
              <w:t>,</w:t>
            </w:r>
            <w:r>
              <w:rPr>
                <w:rFonts w:hint="eastAsia" w:ascii="方正书宋_GBK" w:eastAsia="方正书宋_GBK"/>
              </w:rPr>
              <w:t>培育知识产权竞争优势。健全专利奖励机制，促进专利转化。推进国家知识产权战略纲要实施。</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科技创新成果获得知识产权能力增强，科技型中小企业融资渠道拓宽，重点企业知识产权竞争优势进一步显现。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发明专利申请增长率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资助专利数（件）</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、知识产权保护</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依法及时调处专利纠纷案件，查处假冒专利行为，规范专业市场知识产权保护，提供知识产权维权援助与举报投诉服务，开展全县知识保护产权工作。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知识产权保护专业市场体系不断健全，专利侵权违法行为得到有效遏制，知识产权维权援助与举报投诉服务能力提升，权利人合法权益得到较好维护。</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专利案件结案率（</w:t>
            </w:r>
            <w:r>
              <w:rPr>
                <w:rFonts w:ascii="方正书宋_GBK" w:eastAsia="方正书宋_GBK"/>
              </w:rPr>
              <w:t>%</w:t>
            </w:r>
            <w:r>
              <w:rPr>
                <w:rFonts w:hint="eastAsia" w:ascii="方正书宋_GBK" w:eastAsia="方正书宋_GBK"/>
              </w:rPr>
              <w:t>）</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专利案件立案数（件）</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5</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专利执法检查次数</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、知识产权服务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开展知识产权宣传普及和教育培训活动。促进专利服务业发展，加强专利代理中介机构监管。培育品牌服务机构，推动京津冀知识产权服务协同发展。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社会公众知识产权意识提高，知识产权服务业加快发展。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举办宣传活动数（次）</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四、科技政务管理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10.30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负责机关综合业务管理和机关综合管理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确保各项业务工作谋划到位、顺利开展。保障机关工作正常高效运转。</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10.30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负责科技计划、项目及经费管理</w:t>
            </w:r>
            <w:r>
              <w:rPr>
                <w:rFonts w:ascii="方正书宋_GBK" w:eastAsia="方正书宋_GBK"/>
              </w:rPr>
              <w:t>,</w:t>
            </w:r>
            <w:r>
              <w:rPr>
                <w:rFonts w:hint="eastAsia" w:ascii="方正书宋_GBK" w:eastAsia="方正书宋_GBK"/>
              </w:rPr>
              <w:t>开展科技重点工作，开展科技宣传、科技调研、高新技术企业认定、技术市场管理、科技档案管理，科技成果管理、科普管理、科技评估管理、绩效评价管理、国防科技动员等综合业务。</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各类科技管理业务工作谋划到位、开展有序，助推科技事业发展能力提升。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科技管理业务工作保障率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发布科技新闻数量（条）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高企新增数量</w:t>
            </w:r>
            <w:r>
              <w:rPr>
                <w:rFonts w:ascii="方正书宋_GBK" w:eastAsia="方正书宋_GBK"/>
              </w:rPr>
              <w:t>(</w:t>
            </w:r>
            <w:r>
              <w:rPr>
                <w:rFonts w:hint="eastAsia" w:ascii="方正书宋_GBK" w:eastAsia="方正书宋_GBK"/>
              </w:rPr>
              <w:t>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主要开展会议组织管理、信息化建设、机关财务和资产管理、标准化建设、人事管理、机关党工委、老干部工作以及直属企事业单位管理服务保障等工作。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保障机关工作正常高效运转。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bl>
    <w:p>
      <w:pPr>
        <w:ind w:firstLine="640" w:firstLineChars="200"/>
        <w:rPr>
          <w:rFonts w:ascii="仿宋_GB2312" w:hAnsi="Times New Roman" w:eastAsia="仿宋_GB2312" w:cs="Times New Roman"/>
          <w:color w:val="000000" w:themeColor="text1"/>
          <w:sz w:val="32"/>
          <w:szCs w:val="32"/>
        </w:rPr>
      </w:pPr>
      <w:r>
        <w:rPr>
          <w:rFonts w:hint="eastAsia" w:ascii="黑体" w:hAnsi="黑体" w:eastAsia="黑体" w:cs="Times New Roman"/>
          <w:sz w:val="32"/>
          <w:szCs w:val="32"/>
        </w:rPr>
        <w:t>六、政府采购预算情况</w:t>
      </w:r>
      <w:bookmarkStart w:id="3" w:name="_Toc471398468"/>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2019年，我部门安排政府采购预算</w:t>
      </w:r>
      <w:r>
        <w:rPr>
          <w:rFonts w:hint="eastAsia" w:ascii="仿宋_GB2312" w:hAnsi="黑体" w:eastAsia="仿宋_GB2312" w:cs="Times New Roman"/>
          <w:sz w:val="32"/>
          <w:szCs w:val="32"/>
          <w:lang w:val="en-US" w:eastAsia="zh-CN"/>
        </w:rPr>
        <w:t>10.3</w:t>
      </w:r>
      <w:r>
        <w:rPr>
          <w:rFonts w:hint="eastAsia" w:ascii="仿宋_GB2312" w:hAnsi="黑体" w:eastAsia="仿宋_GB2312" w:cs="Times New Roman"/>
          <w:sz w:val="32"/>
          <w:szCs w:val="32"/>
        </w:rPr>
        <w:t>万元。具体内容见下表。</w:t>
      </w:r>
    </w:p>
    <w:p>
      <w:pPr>
        <w:ind w:firstLine="640" w:firstLineChars="200"/>
        <w:rPr>
          <w:rFonts w:ascii="仿宋_GB2312" w:hAnsi="Times New Roman" w:eastAsia="仿宋_GB2312" w:cs="Times New Roman"/>
          <w:color w:val="FF0000"/>
          <w:sz w:val="32"/>
          <w:szCs w:val="32"/>
        </w:rPr>
      </w:pPr>
    </w:p>
    <w:p>
      <w:pPr>
        <w:jc w:val="center"/>
        <w:outlineLvl w:val="0"/>
        <w:rPr>
          <w:rFonts w:hint="eastAsia"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3"/>
    </w:p>
    <w:tbl>
      <w:tblPr>
        <w:tblStyle w:val="8"/>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noWrap w:val="0"/>
            <w:vAlign w:val="center"/>
          </w:tcPr>
          <w:p>
            <w:pPr>
              <w:spacing w:line="300" w:lineRule="exact"/>
              <w:jc w:val="left"/>
              <w:outlineLvl w:val="0"/>
            </w:pPr>
          </w:p>
        </w:tc>
        <w:tc>
          <w:tcPr>
            <w:tcW w:w="986"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848" w:type="dxa"/>
            <w:vMerge w:val="continue"/>
            <w:noWrap w:val="0"/>
            <w:vAlign w:val="center"/>
          </w:tcPr>
          <w:p>
            <w:pPr>
              <w:spacing w:line="300" w:lineRule="exact"/>
              <w:jc w:val="left"/>
              <w:outlineLvl w:val="0"/>
            </w:pPr>
          </w:p>
        </w:tc>
        <w:tc>
          <w:tcPr>
            <w:tcW w:w="9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noWrap w:val="0"/>
            <w:vAlign w:val="center"/>
          </w:tcPr>
          <w:p>
            <w:pPr>
              <w:spacing w:line="300" w:lineRule="exact"/>
              <w:jc w:val="left"/>
              <w:outlineLvl w:val="0"/>
            </w:pPr>
          </w:p>
        </w:tc>
        <w:tc>
          <w:tcPr>
            <w:tcW w:w="1099" w:type="dxa"/>
            <w:vMerge w:val="continue"/>
            <w:noWrap w:val="0"/>
            <w:vAlign w:val="center"/>
          </w:tcPr>
          <w:p>
            <w:pPr>
              <w:spacing w:line="300" w:lineRule="exact"/>
              <w:jc w:val="left"/>
              <w:outlineLvl w:val="0"/>
            </w:pPr>
          </w:p>
        </w:tc>
        <w:tc>
          <w:tcPr>
            <w:tcW w:w="974" w:type="dxa"/>
            <w:vMerge w:val="continue"/>
            <w:noWrap w:val="0"/>
            <w:vAlign w:val="center"/>
          </w:tcPr>
          <w:p>
            <w:pPr>
              <w:spacing w:line="300" w:lineRule="exact"/>
              <w:jc w:val="left"/>
              <w:outlineLvl w:val="0"/>
            </w:pPr>
          </w:p>
        </w:tc>
        <w:tc>
          <w:tcPr>
            <w:tcW w:w="986"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760" w:type="dxa"/>
            <w:vMerge w:val="continue"/>
            <w:noWrap w:val="0"/>
            <w:vAlign w:val="center"/>
          </w:tcPr>
          <w:p>
            <w:pPr>
              <w:spacing w:line="300" w:lineRule="exact"/>
              <w:jc w:val="left"/>
              <w:outlineLvl w:val="0"/>
            </w:pPr>
          </w:p>
        </w:tc>
        <w:tc>
          <w:tcPr>
            <w:tcW w:w="848" w:type="dxa"/>
            <w:vMerge w:val="continue"/>
            <w:noWrap w:val="0"/>
            <w:vAlign w:val="center"/>
          </w:tcPr>
          <w:p>
            <w:pPr>
              <w:spacing w:line="300" w:lineRule="exact"/>
              <w:jc w:val="left"/>
              <w:outlineLvl w:val="0"/>
            </w:pPr>
          </w:p>
        </w:tc>
        <w:tc>
          <w:tcPr>
            <w:tcW w:w="961" w:type="dxa"/>
            <w:vMerge w:val="continue"/>
            <w:noWrap w:val="0"/>
            <w:vAlign w:val="center"/>
          </w:tcPr>
          <w:p>
            <w:pPr>
              <w:spacing w:line="300" w:lineRule="exact"/>
              <w:jc w:val="left"/>
              <w:outlineLvl w:val="0"/>
            </w:pP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noWrap w:val="0"/>
            <w:vAlign w:val="center"/>
          </w:tcPr>
          <w:p>
            <w:pPr>
              <w:spacing w:line="300" w:lineRule="exact"/>
              <w:jc w:val="right"/>
              <w:rPr>
                <w:rFonts w:ascii="方正书宋_GBK" w:eastAsia="方正书宋_GBK"/>
                <w:b/>
              </w:rPr>
            </w:pPr>
          </w:p>
        </w:tc>
        <w:tc>
          <w:tcPr>
            <w:tcW w:w="974" w:type="dxa"/>
            <w:noWrap w:val="0"/>
            <w:vAlign w:val="center"/>
          </w:tcPr>
          <w:p>
            <w:pPr>
              <w:spacing w:line="300" w:lineRule="exact"/>
              <w:jc w:val="left"/>
              <w:rPr>
                <w:rFonts w:ascii="方正书宋_GBK" w:eastAsia="方正书宋_GBK"/>
                <w:b/>
              </w:rPr>
            </w:pPr>
          </w:p>
        </w:tc>
        <w:tc>
          <w:tcPr>
            <w:tcW w:w="986"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right"/>
              <w:rPr>
                <w:rFonts w:ascii="方正书宋_GBK" w:eastAsia="方正书宋_GBK"/>
                <w:b/>
              </w:rPr>
            </w:pPr>
          </w:p>
        </w:tc>
        <w:tc>
          <w:tcPr>
            <w:tcW w:w="848" w:type="dxa"/>
            <w:noWrap w:val="0"/>
            <w:vAlign w:val="center"/>
          </w:tcPr>
          <w:p>
            <w:pPr>
              <w:spacing w:line="300" w:lineRule="exact"/>
              <w:jc w:val="right"/>
              <w:rPr>
                <w:rFonts w:ascii="方正书宋_GBK" w:eastAsia="方正书宋_GBK"/>
                <w:b/>
              </w:rPr>
            </w:pP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霸州市科学技术局小计</w:t>
            </w:r>
          </w:p>
        </w:tc>
        <w:tc>
          <w:tcPr>
            <w:tcW w:w="1099" w:type="dxa"/>
            <w:noWrap w:val="0"/>
            <w:vAlign w:val="center"/>
          </w:tcPr>
          <w:p>
            <w:pPr>
              <w:spacing w:line="300" w:lineRule="exact"/>
              <w:jc w:val="right"/>
              <w:rPr>
                <w:rFonts w:ascii="方正书宋_GBK" w:eastAsia="方正书宋_GBK"/>
                <w:b/>
              </w:rPr>
            </w:pPr>
          </w:p>
        </w:tc>
        <w:tc>
          <w:tcPr>
            <w:tcW w:w="974" w:type="dxa"/>
            <w:noWrap w:val="0"/>
            <w:vAlign w:val="center"/>
          </w:tcPr>
          <w:p>
            <w:pPr>
              <w:spacing w:line="300" w:lineRule="exact"/>
              <w:jc w:val="left"/>
              <w:rPr>
                <w:rFonts w:ascii="方正书宋_GBK" w:eastAsia="方正书宋_GBK"/>
                <w:b/>
              </w:rPr>
            </w:pPr>
          </w:p>
        </w:tc>
        <w:tc>
          <w:tcPr>
            <w:tcW w:w="986"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left"/>
              <w:rPr>
                <w:rFonts w:ascii="方正书宋_GBK" w:eastAsia="方正书宋_GBK"/>
                <w:b/>
              </w:rPr>
            </w:pPr>
          </w:p>
        </w:tc>
        <w:tc>
          <w:tcPr>
            <w:tcW w:w="760" w:type="dxa"/>
            <w:noWrap w:val="0"/>
            <w:vAlign w:val="center"/>
          </w:tcPr>
          <w:p>
            <w:pPr>
              <w:spacing w:line="300" w:lineRule="exact"/>
              <w:jc w:val="right"/>
              <w:rPr>
                <w:rFonts w:ascii="方正书宋_GBK" w:eastAsia="方正书宋_GBK"/>
                <w:b/>
              </w:rPr>
            </w:pPr>
          </w:p>
        </w:tc>
        <w:tc>
          <w:tcPr>
            <w:tcW w:w="848" w:type="dxa"/>
            <w:noWrap w:val="0"/>
            <w:vAlign w:val="center"/>
          </w:tcPr>
          <w:p>
            <w:pPr>
              <w:spacing w:line="300" w:lineRule="exact"/>
              <w:jc w:val="right"/>
              <w:rPr>
                <w:rFonts w:ascii="方正书宋_GBK" w:eastAsia="方正书宋_GBK"/>
                <w:b/>
              </w:rPr>
            </w:pP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r>
              <w:rPr>
                <w:rFonts w:ascii="方正书宋_GBK" w:eastAsia="方正书宋_GBK"/>
                <w:b/>
              </w:rPr>
              <w:t>10.30</w:t>
            </w:r>
          </w:p>
        </w:tc>
        <w:tc>
          <w:tcPr>
            <w:tcW w:w="961"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64" w:type="dxa"/>
            <w:noWrap w:val="0"/>
            <w:vAlign w:val="center"/>
          </w:tcPr>
          <w:p>
            <w:pPr>
              <w:spacing w:line="300" w:lineRule="exact"/>
              <w:jc w:val="right"/>
              <w:rPr>
                <w:rFonts w:ascii="方正书宋_GBK" w:eastAsia="方正书宋_GBK"/>
                <w:b/>
              </w:rPr>
            </w:pPr>
          </w:p>
        </w:tc>
        <w:tc>
          <w:tcPr>
            <w:tcW w:w="92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科技活动周及知识产权宣传</w:t>
            </w:r>
          </w:p>
        </w:tc>
        <w:tc>
          <w:tcPr>
            <w:tcW w:w="1099" w:type="dxa"/>
            <w:noWrap w:val="0"/>
            <w:vAlign w:val="center"/>
          </w:tcPr>
          <w:p>
            <w:pPr>
              <w:spacing w:line="300" w:lineRule="exact"/>
              <w:jc w:val="right"/>
              <w:rPr>
                <w:rFonts w:ascii="方正书宋_GBK" w:eastAsia="方正书宋_GBK"/>
              </w:rPr>
            </w:pPr>
            <w:r>
              <w:rPr>
                <w:rFonts w:ascii="方正书宋_GBK" w:eastAsia="方正书宋_GBK"/>
              </w:rPr>
              <w:t>8.50</w:t>
            </w:r>
          </w:p>
        </w:tc>
        <w:tc>
          <w:tcPr>
            <w:tcW w:w="974" w:type="dxa"/>
            <w:noWrap w:val="0"/>
            <w:vAlign w:val="center"/>
          </w:tcPr>
          <w:p>
            <w:pPr>
              <w:spacing w:line="300" w:lineRule="exact"/>
              <w:jc w:val="left"/>
              <w:rPr>
                <w:rFonts w:ascii="方正书宋_GBK" w:eastAsia="方正书宋_GBK"/>
              </w:rPr>
            </w:pPr>
            <w:r>
              <w:rPr>
                <w:rFonts w:hint="eastAsia" w:ascii="方正书宋_GBK" w:eastAsia="方正书宋_GBK"/>
              </w:rPr>
              <w:t>印刷品</w:t>
            </w:r>
          </w:p>
        </w:tc>
        <w:tc>
          <w:tcPr>
            <w:tcW w:w="986" w:type="dxa"/>
            <w:noWrap w:val="0"/>
            <w:vAlign w:val="center"/>
          </w:tcPr>
          <w:p>
            <w:pPr>
              <w:spacing w:line="300" w:lineRule="exact"/>
              <w:jc w:val="left"/>
              <w:rPr>
                <w:rFonts w:ascii="方正书宋_GBK" w:eastAsia="方正书宋_GBK"/>
              </w:rPr>
            </w:pPr>
            <w:r>
              <w:rPr>
                <w:rFonts w:ascii="方正书宋_GBK" w:eastAsia="方正书宋_GBK"/>
              </w:rPr>
              <w:t>A0802</w:t>
            </w:r>
          </w:p>
        </w:tc>
        <w:tc>
          <w:tcPr>
            <w:tcW w:w="760" w:type="dxa"/>
            <w:noWrap w:val="0"/>
            <w:vAlign w:val="center"/>
          </w:tcPr>
          <w:p>
            <w:pPr>
              <w:spacing w:line="300" w:lineRule="exact"/>
              <w:jc w:val="left"/>
              <w:rPr>
                <w:rFonts w:ascii="方正书宋_GBK" w:eastAsia="方正书宋_GBK"/>
              </w:rPr>
            </w:pPr>
            <w:r>
              <w:rPr>
                <w:rFonts w:hint="eastAsia" w:ascii="方正书宋_GBK" w:eastAsia="方正书宋_GBK"/>
              </w:rPr>
              <w:t>批</w:t>
            </w:r>
          </w:p>
        </w:tc>
        <w:tc>
          <w:tcPr>
            <w:tcW w:w="760"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848"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科技活动周及知识产权宣传</w:t>
            </w:r>
          </w:p>
        </w:tc>
        <w:tc>
          <w:tcPr>
            <w:tcW w:w="1099" w:type="dxa"/>
            <w:noWrap w:val="0"/>
            <w:vAlign w:val="center"/>
          </w:tcPr>
          <w:p>
            <w:pPr>
              <w:spacing w:line="300" w:lineRule="exact"/>
              <w:jc w:val="right"/>
              <w:rPr>
                <w:rFonts w:ascii="方正书宋_GBK" w:eastAsia="方正书宋_GBK"/>
              </w:rPr>
            </w:pPr>
            <w:r>
              <w:rPr>
                <w:rFonts w:ascii="方正书宋_GBK" w:eastAsia="方正书宋_GBK"/>
              </w:rPr>
              <w:t>8.50</w:t>
            </w:r>
          </w:p>
        </w:tc>
        <w:tc>
          <w:tcPr>
            <w:tcW w:w="97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60" w:type="dxa"/>
            <w:noWrap w:val="0"/>
            <w:vAlign w:val="center"/>
          </w:tcPr>
          <w:p>
            <w:pPr>
              <w:spacing w:line="300" w:lineRule="exact"/>
              <w:jc w:val="left"/>
              <w:rPr>
                <w:rFonts w:hint="eastAsia" w:ascii="方正书宋_GBK" w:eastAsia="方正书宋_GBK"/>
              </w:rPr>
            </w:pPr>
            <w:r>
              <w:rPr>
                <w:rFonts w:hint="eastAsia" w:ascii="方正书宋_GBK" w:eastAsia="方正书宋_GBK"/>
              </w:rPr>
              <w:t>次</w:t>
            </w:r>
          </w:p>
        </w:tc>
        <w:tc>
          <w:tcPr>
            <w:tcW w:w="760"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848"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1.50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noWrap w:val="0"/>
            <w:vAlign w:val="center"/>
          </w:tcPr>
          <w:p>
            <w:pPr>
              <w:spacing w:line="300" w:lineRule="exact"/>
              <w:jc w:val="left"/>
              <w:rPr>
                <w:rFonts w:hint="eastAsia" w:ascii="方正书宋_GBK" w:eastAsia="方正书宋_GBK"/>
              </w:rPr>
            </w:pPr>
            <w:r>
              <w:rPr>
                <w:rFonts w:hint="eastAsia" w:ascii="方正书宋_GBK" w:eastAsia="方正书宋_GBK"/>
              </w:rPr>
              <w:t>科普经费</w:t>
            </w:r>
          </w:p>
        </w:tc>
        <w:tc>
          <w:tcPr>
            <w:tcW w:w="1099"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97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60" w:type="dxa"/>
            <w:noWrap w:val="0"/>
            <w:vAlign w:val="center"/>
          </w:tcPr>
          <w:p>
            <w:pPr>
              <w:spacing w:line="300" w:lineRule="exact"/>
              <w:jc w:val="left"/>
              <w:rPr>
                <w:rFonts w:hint="eastAsia" w:ascii="方正书宋_GBK" w:eastAsia="方正书宋_GBK"/>
              </w:rPr>
            </w:pPr>
            <w:r>
              <w:rPr>
                <w:rFonts w:hint="eastAsia" w:ascii="方正书宋_GBK" w:eastAsia="方正书宋_GBK"/>
              </w:rPr>
              <w:t>次</w:t>
            </w:r>
          </w:p>
        </w:tc>
        <w:tc>
          <w:tcPr>
            <w:tcW w:w="760"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848"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961"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961"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64" w:type="dxa"/>
            <w:noWrap w:val="0"/>
            <w:vAlign w:val="center"/>
          </w:tcPr>
          <w:p>
            <w:pPr>
              <w:spacing w:line="300" w:lineRule="exact"/>
              <w:jc w:val="right"/>
              <w:rPr>
                <w:rFonts w:ascii="方正书宋_GBK" w:eastAsia="方正书宋_GBK"/>
              </w:rPr>
            </w:pPr>
          </w:p>
        </w:tc>
        <w:tc>
          <w:tcPr>
            <w:tcW w:w="921" w:type="dxa"/>
            <w:noWrap w:val="0"/>
            <w:vAlign w:val="center"/>
          </w:tcPr>
          <w:p>
            <w:pPr>
              <w:spacing w:line="300" w:lineRule="exact"/>
              <w:jc w:val="right"/>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科学技术局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97.56</w:t>
      </w:r>
      <w:r>
        <w:rPr>
          <w:rFonts w:hint="eastAsia" w:ascii="仿宋_GB2312" w:hAnsi="黑体" w:eastAsia="仿宋_GB2312" w:cs="Times New Roman"/>
          <w:sz w:val="32"/>
          <w:szCs w:val="32"/>
        </w:rPr>
        <w:t>万元（详见下表）。2019年，我部门无新增固定资产计划。</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科学技术局</w:t>
            </w: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601</w:t>
            </w:r>
            <w:r>
              <w:rPr>
                <w:rFonts w:hint="eastAsia" w:ascii="宋体" w:hAnsi="宋体" w:eastAsia="宋体" w:cs="宋体"/>
                <w:kern w:val="0"/>
                <w:sz w:val="22"/>
              </w:rPr>
              <w:t>霸州</w:t>
            </w:r>
            <w:r>
              <w:rPr>
                <w:rFonts w:hint="eastAsia" w:ascii="宋体" w:hAnsi="宋体" w:eastAsia="宋体" w:cs="宋体"/>
                <w:kern w:val="0"/>
                <w:sz w:val="22"/>
                <w:lang w:eastAsia="zh-CN"/>
              </w:rPr>
              <w:t>科学技术局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97.56</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21.10</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76.46</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bookmarkStart w:id="4" w:name="_GoBack"/>
      <w:bookmarkEnd w:id="4"/>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C1A5014"/>
    <w:rsid w:val="0EE810E7"/>
    <w:rsid w:val="167A6570"/>
    <w:rsid w:val="18B649BA"/>
    <w:rsid w:val="193E6E2D"/>
    <w:rsid w:val="209A66CE"/>
    <w:rsid w:val="292C1AC1"/>
    <w:rsid w:val="2BD72E92"/>
    <w:rsid w:val="30E0591C"/>
    <w:rsid w:val="3535014C"/>
    <w:rsid w:val="35556221"/>
    <w:rsid w:val="39BB312A"/>
    <w:rsid w:val="3E7B6703"/>
    <w:rsid w:val="3FCF0747"/>
    <w:rsid w:val="42BF1F72"/>
    <w:rsid w:val="468F353A"/>
    <w:rsid w:val="49D66492"/>
    <w:rsid w:val="53261A41"/>
    <w:rsid w:val="68A57E96"/>
    <w:rsid w:val="6BAA1CB0"/>
    <w:rsid w:val="6D0A7697"/>
    <w:rsid w:val="6E032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footnote text"/>
    <w:basedOn w:val="1"/>
    <w:semiHidden/>
    <w:qFormat/>
    <w:uiPriority w:val="0"/>
    <w:pPr>
      <w:snapToGrid w:val="0"/>
      <w:jc w:val="left"/>
    </w:pPr>
    <w:rPr>
      <w:sz w:val="18"/>
      <w:szCs w:val="18"/>
    </w:rPr>
  </w:style>
  <w:style w:type="paragraph" w:styleId="7">
    <w:name w:val="toc 2"/>
    <w:basedOn w:val="1"/>
    <w:next w:val="1"/>
    <w:qFormat/>
    <w:uiPriority w:val="0"/>
    <w:pPr>
      <w:ind w:left="420" w:leftChars="200"/>
    </w:pPr>
    <w:rPr>
      <w:rFonts w:ascii="Times New Roman" w:hAnsi="Times New Roman" w:eastAsia="宋体" w:cs="Times New Roman"/>
      <w:szCs w:val="24"/>
    </w:rPr>
  </w:style>
  <w:style w:type="character" w:styleId="10">
    <w:name w:val="page number"/>
    <w:basedOn w:val="9"/>
    <w:qFormat/>
    <w:uiPriority w:val="0"/>
  </w:style>
  <w:style w:type="character" w:styleId="11">
    <w:name w:val="footnote reference"/>
    <w:basedOn w:val="9"/>
    <w:semiHidden/>
    <w:qFormat/>
    <w:uiPriority w:val="0"/>
    <w:rPr>
      <w:vertAlign w:val="superscript"/>
    </w:rPr>
  </w:style>
  <w:style w:type="character" w:customStyle="1" w:styleId="12">
    <w:name w:val="页眉 字符"/>
    <w:basedOn w:val="9"/>
    <w:link w:val="4"/>
    <w:uiPriority w:val="0"/>
    <w:rPr>
      <w:rFonts w:ascii="Times New Roman" w:hAnsi="Times New Roman" w:eastAsia="宋体" w:cs="Times New Roman"/>
      <w:sz w:val="18"/>
      <w:szCs w:val="18"/>
    </w:rPr>
  </w:style>
  <w:style w:type="character" w:customStyle="1" w:styleId="13">
    <w:name w:val="页脚 字符"/>
    <w:basedOn w:val="9"/>
    <w:link w:val="3"/>
    <w:uiPriority w:val="99"/>
    <w:rPr>
      <w:rFonts w:ascii="Times New Roman" w:hAnsi="Times New Roman" w:eastAsia="宋体" w:cs="Times New Roman"/>
      <w:sz w:val="18"/>
      <w:szCs w:val="18"/>
    </w:rPr>
  </w:style>
  <w:style w:type="character" w:customStyle="1" w:styleId="14">
    <w:name w:val="批注框文本 字符"/>
    <w:basedOn w:val="9"/>
    <w:link w:val="2"/>
    <w:semiHidden/>
    <w:uiPriority w:val="99"/>
    <w:rPr>
      <w:sz w:val="18"/>
      <w:szCs w:val="18"/>
    </w:rPr>
  </w:style>
  <w:style w:type="paragraph" w:customStyle="1" w:styleId="15">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A873D-3504-47E7-B920-83F47BE06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2533</Characters>
  <Lines>21</Lines>
  <Paragraphs>5</Paragraphs>
  <TotalTime>14</TotalTime>
  <ScaleCrop>false</ScaleCrop>
  <LinksUpToDate>false</LinksUpToDate>
  <CharactersWithSpaces>2972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lenovo</cp:lastModifiedBy>
  <cp:lastPrinted>2018-02-28T01:51:00Z</cp:lastPrinted>
  <dcterms:modified xsi:type="dcterms:W3CDTF">2019-02-20T03:13:20Z</dcterms:modified>
  <cp:revision>1379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